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97C31" w14:textId="77777777" w:rsidR="00630882" w:rsidRPr="00306E59" w:rsidRDefault="00825D50">
      <w:pPr>
        <w:rPr>
          <w:b/>
          <w:sz w:val="32"/>
          <w:szCs w:val="32"/>
        </w:rPr>
      </w:pPr>
      <w:r w:rsidRPr="00306E59">
        <w:rPr>
          <w:b/>
          <w:sz w:val="32"/>
          <w:szCs w:val="32"/>
        </w:rPr>
        <w:t xml:space="preserve">Green </w:t>
      </w:r>
      <w:r w:rsidRPr="007B54FB">
        <w:rPr>
          <w:b/>
          <w:sz w:val="28"/>
          <w:szCs w:val="28"/>
        </w:rPr>
        <w:t>Revolving</w:t>
      </w:r>
      <w:r w:rsidRPr="00306E59">
        <w:rPr>
          <w:b/>
          <w:sz w:val="32"/>
          <w:szCs w:val="32"/>
        </w:rPr>
        <w:t xml:space="preserve"> </w:t>
      </w:r>
      <w:r w:rsidR="00D222CC" w:rsidRPr="00306E59">
        <w:rPr>
          <w:b/>
          <w:sz w:val="32"/>
          <w:szCs w:val="32"/>
        </w:rPr>
        <w:t xml:space="preserve">Loan </w:t>
      </w:r>
      <w:r w:rsidRPr="00306E59">
        <w:rPr>
          <w:b/>
          <w:sz w:val="32"/>
          <w:szCs w:val="32"/>
        </w:rPr>
        <w:t>Funds</w:t>
      </w:r>
    </w:p>
    <w:p w14:paraId="33F97C32" w14:textId="77777777" w:rsidR="00825D50" w:rsidRPr="003D06D1" w:rsidRDefault="00825D50"/>
    <w:p w14:paraId="33F97C33" w14:textId="77777777" w:rsidR="00825D50" w:rsidRPr="003D06D1" w:rsidRDefault="002447E6">
      <w:r w:rsidRPr="003D06D1">
        <w:t xml:space="preserve">Green revolving loan funds </w:t>
      </w:r>
      <w:r w:rsidR="001C39F4" w:rsidRPr="003D06D1">
        <w:t xml:space="preserve">are mechanisms for financing sustainability projects. </w:t>
      </w:r>
      <w:r w:rsidR="00D719F6" w:rsidRPr="003D06D1">
        <w:t>A loan provides the initial capital to support a pr</w:t>
      </w:r>
      <w:r w:rsidR="00EB5464" w:rsidRPr="003D06D1">
        <w:t>oject</w:t>
      </w:r>
      <w:r w:rsidR="00444E38" w:rsidRPr="003D06D1">
        <w:t xml:space="preserve"> that mitigates greenhouse gas emissions</w:t>
      </w:r>
      <w:r w:rsidR="007135F3" w:rsidRPr="003D06D1">
        <w:t xml:space="preserve"> or reduces resource use</w:t>
      </w:r>
      <w:r w:rsidR="00EB5464" w:rsidRPr="003D06D1">
        <w:t>.</w:t>
      </w:r>
      <w:r w:rsidR="00D719F6" w:rsidRPr="003D06D1">
        <w:t xml:space="preserve"> The savings from that project are reinvested in the loan fund, where they can </w:t>
      </w:r>
      <w:r w:rsidR="004A1FCD" w:rsidRPr="003D06D1">
        <w:t xml:space="preserve">then </w:t>
      </w:r>
      <w:r w:rsidR="00D719F6" w:rsidRPr="003D06D1">
        <w:t>be used to finance future projects.</w:t>
      </w:r>
      <w:r w:rsidR="00D222CC" w:rsidRPr="003D06D1">
        <w:t xml:space="preserve"> </w:t>
      </w:r>
      <w:r w:rsidR="00EB5464" w:rsidRPr="003D06D1">
        <w:t xml:space="preserve">Typical projects </w:t>
      </w:r>
      <w:r w:rsidR="00C43247" w:rsidRPr="003D06D1">
        <w:t xml:space="preserve">that generate cost savings </w:t>
      </w:r>
      <w:r w:rsidR="00EB5464" w:rsidRPr="003D06D1">
        <w:t xml:space="preserve">include energy efficiency, </w:t>
      </w:r>
      <w:r w:rsidR="00D80178" w:rsidRPr="003D06D1">
        <w:t xml:space="preserve">renewable energy, </w:t>
      </w:r>
      <w:r w:rsidR="00EB5464" w:rsidRPr="003D06D1">
        <w:t xml:space="preserve">water conservation, </w:t>
      </w:r>
      <w:r w:rsidR="00305083" w:rsidRPr="003D06D1">
        <w:t xml:space="preserve">waste </w:t>
      </w:r>
      <w:r w:rsidR="0047051C" w:rsidRPr="003D06D1">
        <w:t xml:space="preserve">reduction </w:t>
      </w:r>
      <w:r w:rsidR="00EB5464" w:rsidRPr="003D06D1">
        <w:t xml:space="preserve">and recycling. </w:t>
      </w:r>
      <w:r w:rsidR="00D222CC" w:rsidRPr="003D06D1">
        <w:t xml:space="preserve">The idea has gained traction in higher education </w:t>
      </w:r>
      <w:proofErr w:type="gramStart"/>
      <w:r w:rsidR="00D222CC" w:rsidRPr="003D06D1">
        <w:t>institutions, but</w:t>
      </w:r>
      <w:proofErr w:type="gramEnd"/>
      <w:r w:rsidR="00D222CC" w:rsidRPr="003D06D1">
        <w:t xml:space="preserve"> can be applied in any sector where sustainability projects save money.</w:t>
      </w:r>
    </w:p>
    <w:p w14:paraId="33F97C34" w14:textId="77777777" w:rsidR="008A7BC2" w:rsidRPr="003D06D1" w:rsidRDefault="008A7BC2"/>
    <w:p w14:paraId="33F97C35" w14:textId="77777777" w:rsidR="00B80997" w:rsidRPr="003D06D1" w:rsidRDefault="000D2D49">
      <w:r w:rsidRPr="003D06D1">
        <w:t xml:space="preserve">A well-managed green revolving fund is a good investment. </w:t>
      </w:r>
      <w:r w:rsidR="00776E61" w:rsidRPr="003D06D1">
        <w:t xml:space="preserve">A </w:t>
      </w:r>
      <w:r w:rsidR="00003341" w:rsidRPr="003D06D1">
        <w:t xml:space="preserve">2012 </w:t>
      </w:r>
      <w:r w:rsidR="00776E61" w:rsidRPr="003D06D1">
        <w:t xml:space="preserve">study of 76 institutions of higher education </w:t>
      </w:r>
      <w:r w:rsidR="000E0246" w:rsidRPr="003D06D1">
        <w:t xml:space="preserve">in the US and Canada </w:t>
      </w:r>
      <w:r w:rsidR="00776E61" w:rsidRPr="003D06D1">
        <w:t>reported a median payback period of 3.5 years (Flynn</w:t>
      </w:r>
      <w:r w:rsidR="004D1137" w:rsidRPr="003D06D1">
        <w:t>, Orlowski and Weisbord</w:t>
      </w:r>
      <w:r w:rsidR="00776E61" w:rsidRPr="003D06D1">
        <w:t xml:space="preserve"> 2012, 5) </w:t>
      </w:r>
      <w:r w:rsidR="00655F34" w:rsidRPr="003D06D1">
        <w:t xml:space="preserve">and </w:t>
      </w:r>
      <w:r w:rsidR="00E01226" w:rsidRPr="003D06D1">
        <w:t>an average payback period of 4.4</w:t>
      </w:r>
      <w:r w:rsidR="00CD0D01" w:rsidRPr="003D06D1">
        <w:t xml:space="preserve"> years (ibi</w:t>
      </w:r>
      <w:r w:rsidR="00E01226" w:rsidRPr="003D06D1">
        <w:t>d., 57</w:t>
      </w:r>
      <w:r w:rsidR="00CD0D01" w:rsidRPr="003D06D1">
        <w:t xml:space="preserve">) </w:t>
      </w:r>
      <w:r w:rsidR="00776E61" w:rsidRPr="003D06D1">
        <w:t xml:space="preserve">with a median annual return on investment </w:t>
      </w:r>
      <w:r w:rsidR="001B444A" w:rsidRPr="003D06D1">
        <w:t xml:space="preserve">(ROI) </w:t>
      </w:r>
      <w:r w:rsidR="00776E61" w:rsidRPr="003D06D1">
        <w:t xml:space="preserve">of 28 percent, reliably outperforming </w:t>
      </w:r>
      <w:r w:rsidR="00902609" w:rsidRPr="003D06D1">
        <w:t xml:space="preserve">the </w:t>
      </w:r>
      <w:r w:rsidR="00776E61" w:rsidRPr="003D06D1">
        <w:t>average investment returns of endowment funds (</w:t>
      </w:r>
      <w:proofErr w:type="spellStart"/>
      <w:r w:rsidR="00776E61" w:rsidRPr="003D06D1">
        <w:t>Indvik</w:t>
      </w:r>
      <w:proofErr w:type="spellEnd"/>
      <w:r w:rsidR="00776E61" w:rsidRPr="003D06D1">
        <w:t>, Foley, and Orlowski 2013a, 7).</w:t>
      </w:r>
      <w:r w:rsidR="0002372C" w:rsidRPr="003D06D1">
        <w:t xml:space="preserve"> </w:t>
      </w:r>
      <w:r w:rsidR="00BA0CDA" w:rsidRPr="003D06D1">
        <w:t>For example, t</w:t>
      </w:r>
      <w:r w:rsidR="004D1137" w:rsidRPr="003D06D1">
        <w:t>he green revolving fund a</w:t>
      </w:r>
      <w:r w:rsidR="001C40B8" w:rsidRPr="003D06D1">
        <w:t>t Stanford University</w:t>
      </w:r>
      <w:r w:rsidR="004D1137" w:rsidRPr="003D06D1">
        <w:t xml:space="preserve"> returned an average annual ROI of 22 percent from 2004 to 2012 (Flynn, Orlowski and Weisbord 2012, 25)</w:t>
      </w:r>
      <w:r w:rsidR="00BA0CDA" w:rsidRPr="003D06D1">
        <w:t xml:space="preserve">, and </w:t>
      </w:r>
      <w:r w:rsidR="00744E56" w:rsidRPr="003D06D1">
        <w:t>a similar</w:t>
      </w:r>
      <w:r w:rsidR="00BA0CDA" w:rsidRPr="003D06D1">
        <w:t xml:space="preserve"> fund at the University of Colorado, Boulder returned an average annual ROI of 37.8 percent from 2008 to 2012 (ibid., 29)</w:t>
      </w:r>
      <w:r w:rsidR="004D1137" w:rsidRPr="003D06D1">
        <w:t xml:space="preserve">. </w:t>
      </w:r>
    </w:p>
    <w:p w14:paraId="33F97C36" w14:textId="77777777" w:rsidR="00B80997" w:rsidRPr="003D06D1" w:rsidRDefault="00B80997"/>
    <w:p w14:paraId="33F97C37" w14:textId="77777777" w:rsidR="00776E61" w:rsidRPr="003D06D1" w:rsidRDefault="00310F61">
      <w:r w:rsidRPr="003D06D1">
        <w:t>A green revolving fund offers multiple benefits i</w:t>
      </w:r>
      <w:r w:rsidR="0002372C" w:rsidRPr="003D06D1">
        <w:t>n addition to above-</w:t>
      </w:r>
      <w:r w:rsidRPr="003D06D1">
        <w:t xml:space="preserve">average investment performance. This approach </w:t>
      </w:r>
      <w:r w:rsidR="00B80997" w:rsidRPr="003D06D1">
        <w:t>advances sustainability goals</w:t>
      </w:r>
      <w:r w:rsidR="00141F2C" w:rsidRPr="003D06D1">
        <w:t xml:space="preserve"> by removing financial barriers, and</w:t>
      </w:r>
      <w:r w:rsidR="00B80997" w:rsidRPr="003D06D1">
        <w:t xml:space="preserve"> </w:t>
      </w:r>
      <w:r w:rsidR="00203AE7" w:rsidRPr="003D06D1">
        <w:t>visibly makes the b</w:t>
      </w:r>
      <w:r w:rsidR="00603998" w:rsidRPr="003D06D1">
        <w:t>usiness case for sustainability. It</w:t>
      </w:r>
      <w:r w:rsidR="00D02289" w:rsidRPr="003D06D1">
        <w:t xml:space="preserve"> provides </w:t>
      </w:r>
      <w:r w:rsidR="003E1890" w:rsidRPr="003D06D1">
        <w:t xml:space="preserve">a unified system for tracking financial aspects </w:t>
      </w:r>
      <w:r w:rsidR="0016116D" w:rsidRPr="003D06D1">
        <w:t xml:space="preserve">of </w:t>
      </w:r>
      <w:r w:rsidR="003E1890" w:rsidRPr="003D06D1">
        <w:t>sustainability projects</w:t>
      </w:r>
      <w:r w:rsidR="00D13FA7" w:rsidRPr="003D06D1">
        <w:t xml:space="preserve"> as part of an integrated whole. A green revolving fund</w:t>
      </w:r>
      <w:r w:rsidR="003E1890" w:rsidRPr="003D06D1">
        <w:t xml:space="preserve"> offers potential </w:t>
      </w:r>
      <w:r w:rsidR="00D02289" w:rsidRPr="003D06D1">
        <w:t>funding to support</w:t>
      </w:r>
      <w:r w:rsidR="00D13FA7" w:rsidRPr="003D06D1">
        <w:t xml:space="preserve"> student experiential learning, while also</w:t>
      </w:r>
      <w:r w:rsidR="00203AE7" w:rsidRPr="003D06D1">
        <w:t xml:space="preserve"> </w:t>
      </w:r>
      <w:r w:rsidR="00D13FA7" w:rsidRPr="003D06D1">
        <w:t>creating</w:t>
      </w:r>
      <w:r w:rsidR="00C100DD" w:rsidRPr="003D06D1">
        <w:t xml:space="preserve"> in</w:t>
      </w:r>
      <w:r w:rsidR="001B5225" w:rsidRPr="003D06D1">
        <w:t>novative fundraising opportunities</w:t>
      </w:r>
      <w:r w:rsidR="00695E4F" w:rsidRPr="003D06D1">
        <w:t xml:space="preserve"> that are</w:t>
      </w:r>
      <w:r w:rsidR="00C100DD" w:rsidRPr="003D06D1">
        <w:t xml:space="preserve"> </w:t>
      </w:r>
      <w:r w:rsidR="00DE1489" w:rsidRPr="003D06D1">
        <w:t>attractive to</w:t>
      </w:r>
      <w:r w:rsidR="00C100DD" w:rsidRPr="003D06D1">
        <w:t xml:space="preserve"> donors</w:t>
      </w:r>
      <w:r w:rsidR="00C84C42" w:rsidRPr="003D06D1">
        <w:t>. It</w:t>
      </w:r>
      <w:r w:rsidR="001233B9" w:rsidRPr="003D06D1">
        <w:t xml:space="preserve"> creates opportunities to engage the community</w:t>
      </w:r>
      <w:r w:rsidR="000A6365" w:rsidRPr="003D06D1">
        <w:t>, bringing diverse stakeholders together to make decisions about sustainability and investments</w:t>
      </w:r>
      <w:r w:rsidR="00F55F7F" w:rsidRPr="003D06D1">
        <w:t>,</w:t>
      </w:r>
      <w:r w:rsidR="00C26D52" w:rsidRPr="003D06D1">
        <w:t xml:space="preserve"> and clearly communicates an institution’s commitment to sustainability goals</w:t>
      </w:r>
      <w:r w:rsidR="000A6365" w:rsidRPr="003D06D1">
        <w:t>.</w:t>
      </w:r>
    </w:p>
    <w:p w14:paraId="33F97C38" w14:textId="77777777" w:rsidR="00F9239A" w:rsidRPr="003D06D1" w:rsidRDefault="00F9239A"/>
    <w:p w14:paraId="33F97C39" w14:textId="77777777" w:rsidR="00F9239A" w:rsidRPr="003D06D1" w:rsidRDefault="00DE1EB2">
      <w:r w:rsidRPr="003D06D1">
        <w:t>Setting</w:t>
      </w:r>
      <w:r w:rsidR="000C24BD" w:rsidRPr="003D06D1">
        <w:t xml:space="preserve"> up a fund be</w:t>
      </w:r>
      <w:r w:rsidR="00976D10" w:rsidRPr="003D06D1">
        <w:t xml:space="preserve">gins with research, both </w:t>
      </w:r>
      <w:r w:rsidR="0051640F" w:rsidRPr="003D06D1">
        <w:t xml:space="preserve">to learn how funds are structured in similar peer institutions and </w:t>
      </w:r>
      <w:r w:rsidR="002B4832" w:rsidRPr="003D06D1">
        <w:t xml:space="preserve">to </w:t>
      </w:r>
      <w:r w:rsidR="00EB407F" w:rsidRPr="003D06D1">
        <w:t>understand</w:t>
      </w:r>
      <w:r w:rsidR="000C24BD" w:rsidRPr="003D06D1">
        <w:t xml:space="preserve"> </w:t>
      </w:r>
      <w:r w:rsidR="00215CBA" w:rsidRPr="003D06D1">
        <w:t xml:space="preserve">thoroughly </w:t>
      </w:r>
      <w:r w:rsidR="000C24BD" w:rsidRPr="003D06D1">
        <w:t>the accounting system</w:t>
      </w:r>
      <w:r w:rsidR="0029502E" w:rsidRPr="003D06D1">
        <w:t>, operations management,</w:t>
      </w:r>
      <w:r w:rsidR="000C24BD" w:rsidRPr="003D06D1">
        <w:t xml:space="preserve"> and sustainability project portfolio in the home institution.</w:t>
      </w:r>
      <w:r w:rsidR="00556DE0" w:rsidRPr="003D06D1">
        <w:t xml:space="preserve"> </w:t>
      </w:r>
      <w:r w:rsidR="00CC2F6A" w:rsidRPr="003D06D1">
        <w:t xml:space="preserve">No two funds are alike, and each will need to be tailored to the characteristics of its institution. </w:t>
      </w:r>
      <w:r w:rsidR="00556DE0" w:rsidRPr="003D06D1">
        <w:t xml:space="preserve">Successful planning efforts </w:t>
      </w:r>
      <w:r w:rsidR="00264764" w:rsidRPr="003D06D1">
        <w:t xml:space="preserve">typically </w:t>
      </w:r>
      <w:r w:rsidR="00EF2414" w:rsidRPr="003D06D1">
        <w:t>involve</w:t>
      </w:r>
      <w:r w:rsidR="00264764" w:rsidRPr="003D06D1">
        <w:t xml:space="preserve"> </w:t>
      </w:r>
      <w:r w:rsidR="00EF2414" w:rsidRPr="003D06D1">
        <w:t xml:space="preserve">staff with expertise in finance, operations, and sustainability, and </w:t>
      </w:r>
      <w:r w:rsidR="00556DE0" w:rsidRPr="003D06D1">
        <w:t xml:space="preserve">often include </w:t>
      </w:r>
      <w:r w:rsidR="00E870EE" w:rsidRPr="003D06D1">
        <w:t>participation by multiple stakeholders</w:t>
      </w:r>
      <w:r w:rsidR="00EF2414" w:rsidRPr="003D06D1">
        <w:t xml:space="preserve"> as well</w:t>
      </w:r>
      <w:r w:rsidR="00E870EE" w:rsidRPr="003D06D1">
        <w:t xml:space="preserve">. </w:t>
      </w:r>
    </w:p>
    <w:p w14:paraId="33F97C3A" w14:textId="77777777" w:rsidR="00D279C7" w:rsidRPr="003D06D1" w:rsidRDefault="00D279C7"/>
    <w:p w14:paraId="33F97C3B" w14:textId="77777777" w:rsidR="00D279C7" w:rsidRPr="003D06D1" w:rsidRDefault="00D279C7">
      <w:r w:rsidRPr="003D06D1">
        <w:t xml:space="preserve">A new fund </w:t>
      </w:r>
      <w:r w:rsidR="004E243E" w:rsidRPr="003D06D1">
        <w:t>need</w:t>
      </w:r>
      <w:r w:rsidR="009B178F" w:rsidRPr="003D06D1">
        <w:t>s</w:t>
      </w:r>
      <w:r w:rsidR="004E243E" w:rsidRPr="003D06D1">
        <w:t xml:space="preserve"> seed capital to get started. </w:t>
      </w:r>
      <w:r w:rsidR="009D3AB5" w:rsidRPr="003D06D1">
        <w:t xml:space="preserve">Capital can come originally from an operating budget, </w:t>
      </w:r>
      <w:r w:rsidR="00D823D2" w:rsidRPr="003D06D1">
        <w:t xml:space="preserve">an endowment fund, utility rebates, donations, or grants. </w:t>
      </w:r>
      <w:r w:rsidR="00B66B94" w:rsidRPr="003D06D1">
        <w:t xml:space="preserve">Planners need to decide whether to start small, allowing them to pilot a project before scaling up once the pilot demonstrates success; or whether to start at a larger scale, which allows greater flexibility in choosing projects. </w:t>
      </w:r>
      <w:r w:rsidR="00C4238C" w:rsidRPr="003D06D1">
        <w:t>Planning includes</w:t>
      </w:r>
      <w:r w:rsidR="0013682C" w:rsidRPr="003D06D1">
        <w:t xml:space="preserve"> develop</w:t>
      </w:r>
      <w:r w:rsidR="00C4238C" w:rsidRPr="003D06D1">
        <w:t>ing</w:t>
      </w:r>
      <w:r w:rsidR="0013682C" w:rsidRPr="003D06D1">
        <w:t xml:space="preserve"> criteria for evaluating and selecting projects to be funded. </w:t>
      </w:r>
      <w:r w:rsidR="00A378F1" w:rsidRPr="003D06D1">
        <w:t xml:space="preserve">Decisions need to be made about how the fund will be structured, how repayments will be made, by whom, and how often. </w:t>
      </w:r>
      <w:r w:rsidR="007D6FA6" w:rsidRPr="003D06D1">
        <w:t xml:space="preserve">The green revolving fund may be set up under a loan model, in which a project borrows money from the fund, or under an accounting model, in which </w:t>
      </w:r>
      <w:r w:rsidR="00F12404" w:rsidRPr="003D06D1">
        <w:t xml:space="preserve">both loans and repayments </w:t>
      </w:r>
      <w:r w:rsidR="007D6FA6" w:rsidRPr="003D06D1">
        <w:t xml:space="preserve">are </w:t>
      </w:r>
      <w:r w:rsidR="00F12404" w:rsidRPr="003D06D1">
        <w:t xml:space="preserve">handled by </w:t>
      </w:r>
      <w:r w:rsidR="007D6FA6" w:rsidRPr="003D06D1">
        <w:t>tran</w:t>
      </w:r>
      <w:r w:rsidR="00F12404" w:rsidRPr="003D06D1">
        <w:t>sferring funds</w:t>
      </w:r>
      <w:r w:rsidR="007D6FA6" w:rsidRPr="003D06D1">
        <w:t xml:space="preserve"> between </w:t>
      </w:r>
      <w:proofErr w:type="gramStart"/>
      <w:r w:rsidR="00C15FE1" w:rsidRPr="003D06D1">
        <w:t>particular</w:t>
      </w:r>
      <w:r w:rsidR="007D6FA6" w:rsidRPr="003D06D1">
        <w:t xml:space="preserve"> budget</w:t>
      </w:r>
      <w:r w:rsidR="006607DB" w:rsidRPr="003D06D1">
        <w:t>s</w:t>
      </w:r>
      <w:proofErr w:type="gramEnd"/>
      <w:r w:rsidR="007D6FA6" w:rsidRPr="003D06D1">
        <w:t>.</w:t>
      </w:r>
      <w:r w:rsidR="00C70F55" w:rsidRPr="003D06D1">
        <w:t xml:space="preserve"> The system can be overseen by a single administrator; by staff from a relevant office such as finance, facilities, or </w:t>
      </w:r>
      <w:r w:rsidR="00C70F55" w:rsidRPr="003D06D1">
        <w:lastRenderedPageBreak/>
        <w:t xml:space="preserve">sustainability; or by a management committee, which has the advantage of promoting broader stakeholder engagement and greater awareness. </w:t>
      </w:r>
    </w:p>
    <w:p w14:paraId="33F97C3C" w14:textId="77777777" w:rsidR="004D4871" w:rsidRPr="003D06D1" w:rsidRDefault="004D4871"/>
    <w:p w14:paraId="33F97C3D" w14:textId="77777777" w:rsidR="003C187F" w:rsidRPr="003D06D1" w:rsidRDefault="004D4871" w:rsidP="003C187F">
      <w:r w:rsidRPr="003D06D1">
        <w:t>The Billion Dollar Green Challenge is a program that encourages higher education institutions and nonprofit organizations to invest in green revolving funds. It was launched in 2011 by the Sustainable Endowments Institute in connection with the annual conference of the As</w:t>
      </w:r>
      <w:r w:rsidRPr="003D06D1">
        <w:softHyphen/>
        <w:t>sociation for Advancement of Sustain</w:t>
      </w:r>
      <w:r w:rsidRPr="003D06D1">
        <w:softHyphen/>
        <w:t>ability in Higher Education (AASHE)</w:t>
      </w:r>
      <w:r w:rsidR="003C187F" w:rsidRPr="003D06D1">
        <w:t xml:space="preserve">, with a goal of investing a combined total of one billion dollars in self-managed funds to finance sustainability projects. The Billion Dollar Green Challenge suggests that each participating institution </w:t>
      </w:r>
      <w:r w:rsidR="0050774E" w:rsidRPr="003D06D1">
        <w:t>establish</w:t>
      </w:r>
      <w:r w:rsidR="003C187F" w:rsidRPr="003D06D1">
        <w:t xml:space="preserve"> a fund equivalent to one percent of the endow</w:t>
      </w:r>
      <w:r w:rsidR="003C187F" w:rsidRPr="003D06D1">
        <w:softHyphen/>
        <w:t>ment or one million dollars, whichever is less</w:t>
      </w:r>
      <w:r w:rsidR="00EF6ADC" w:rsidRPr="003D06D1">
        <w:t xml:space="preserve"> (Boyd 2013, 346</w:t>
      </w:r>
      <w:r w:rsidR="004C27B9" w:rsidRPr="003D06D1">
        <w:t>)</w:t>
      </w:r>
      <w:r w:rsidR="003C187F" w:rsidRPr="003D06D1">
        <w:t xml:space="preserve">. The Sustainable Endowments Institute offers a </w:t>
      </w:r>
      <w:r w:rsidR="00CC1B1C" w:rsidRPr="003D06D1">
        <w:t xml:space="preserve">range of tools and resources </w:t>
      </w:r>
      <w:r w:rsidR="003C187F" w:rsidRPr="003D06D1">
        <w:t xml:space="preserve">to help </w:t>
      </w:r>
      <w:r w:rsidR="00CC1B1C" w:rsidRPr="003D06D1">
        <w:t xml:space="preserve">institutions </w:t>
      </w:r>
      <w:r w:rsidR="003C187F" w:rsidRPr="003D06D1">
        <w:t>facilitate the planning and operation of green revolving funds.</w:t>
      </w:r>
    </w:p>
    <w:p w14:paraId="33F97C3E" w14:textId="77777777" w:rsidR="004D4871" w:rsidRPr="003D06D1" w:rsidRDefault="004D4871" w:rsidP="003C187F"/>
    <w:p w14:paraId="09F1FE47" w14:textId="722E6527" w:rsidR="007B54FB" w:rsidRPr="007B54FB" w:rsidRDefault="007B54FB" w:rsidP="00DD2713">
      <w:pPr>
        <w:pStyle w:val="Default"/>
        <w:ind w:left="360" w:hanging="360"/>
        <w:rPr>
          <w:rFonts w:ascii="Times New Roman" w:hAnsi="Times New Roman" w:cs="Times New Roman"/>
          <w:b/>
          <w:bCs/>
        </w:rPr>
      </w:pPr>
      <w:r>
        <w:rPr>
          <w:rFonts w:ascii="Times New Roman" w:hAnsi="Times New Roman" w:cs="Times New Roman"/>
          <w:b/>
          <w:bCs/>
        </w:rPr>
        <w:t>Sources</w:t>
      </w:r>
    </w:p>
    <w:p w14:paraId="33F97C40" w14:textId="4F83AF89" w:rsidR="00DD2713" w:rsidRPr="003D06D1" w:rsidRDefault="00DD2713" w:rsidP="00DD2713">
      <w:pPr>
        <w:pStyle w:val="Default"/>
        <w:ind w:left="360" w:hanging="360"/>
        <w:rPr>
          <w:rFonts w:ascii="Times New Roman" w:hAnsi="Times New Roman" w:cs="Times New Roman"/>
        </w:rPr>
      </w:pPr>
      <w:r w:rsidRPr="003D06D1">
        <w:rPr>
          <w:rFonts w:ascii="Times New Roman" w:hAnsi="Times New Roman" w:cs="Times New Roman"/>
        </w:rPr>
        <w:t xml:space="preserve">Boyd, Stephanie. “Financing and Managing Energy Projects through Revolving Loan Funds.” </w:t>
      </w:r>
      <w:r w:rsidRPr="003D06D1">
        <w:rPr>
          <w:rFonts w:ascii="Times New Roman" w:hAnsi="Times New Roman" w:cs="Times New Roman"/>
          <w:i/>
        </w:rPr>
        <w:t>Sustainability: The Journal of Record,</w:t>
      </w:r>
      <w:r w:rsidRPr="003D06D1">
        <w:rPr>
          <w:rFonts w:ascii="Times New Roman" w:hAnsi="Times New Roman" w:cs="Times New Roman"/>
        </w:rPr>
        <w:t xml:space="preserve"> vol. 6 no. 6 (December 2013): 345–52. </w:t>
      </w:r>
      <w:proofErr w:type="spellStart"/>
      <w:r w:rsidRPr="003D06D1">
        <w:rPr>
          <w:rFonts w:ascii="Times New Roman" w:hAnsi="Times New Roman" w:cs="Times New Roman"/>
        </w:rPr>
        <w:t>doi</w:t>
      </w:r>
      <w:proofErr w:type="spellEnd"/>
      <w:r w:rsidRPr="003D06D1">
        <w:rPr>
          <w:rFonts w:ascii="Times New Roman" w:hAnsi="Times New Roman" w:cs="Times New Roman"/>
        </w:rPr>
        <w:t xml:space="preserve">: </w:t>
      </w:r>
      <w:r w:rsidRPr="003D06D1">
        <w:rPr>
          <w:rStyle w:val="A0"/>
          <w:rFonts w:ascii="Times New Roman" w:hAnsi="Times New Roman" w:cs="Times New Roman"/>
          <w:color w:val="auto"/>
          <w:sz w:val="24"/>
          <w:szCs w:val="24"/>
        </w:rPr>
        <w:t>10.1089/sus.2013.9826</w:t>
      </w:r>
      <w:r w:rsidRPr="003D06D1">
        <w:rPr>
          <w:rFonts w:ascii="Times New Roman" w:hAnsi="Times New Roman" w:cs="Times New Roman"/>
        </w:rPr>
        <w:t>.</w:t>
      </w:r>
    </w:p>
    <w:p w14:paraId="33F97C41" w14:textId="77777777" w:rsidR="00DD2713" w:rsidRPr="003D06D1" w:rsidRDefault="00DD2713" w:rsidP="00DD2713">
      <w:pPr>
        <w:ind w:left="360" w:hanging="360"/>
      </w:pPr>
      <w:r w:rsidRPr="003D06D1">
        <w:t xml:space="preserve">Flynn, Emily, Mark Orlowski, and </w:t>
      </w:r>
      <w:proofErr w:type="spellStart"/>
      <w:r w:rsidRPr="003D06D1">
        <w:t>Dano</w:t>
      </w:r>
      <w:proofErr w:type="spellEnd"/>
      <w:r w:rsidRPr="003D06D1">
        <w:t xml:space="preserve"> Weisbord. </w:t>
      </w:r>
      <w:r w:rsidRPr="003D06D1">
        <w:rPr>
          <w:i/>
        </w:rPr>
        <w:t xml:space="preserve">Greening the Bottom Line 2012. </w:t>
      </w:r>
      <w:r w:rsidRPr="003D06D1">
        <w:t>Cambridge, MA: Sustainable Endowments Institute, 2012.</w:t>
      </w:r>
    </w:p>
    <w:p w14:paraId="33F97C44" w14:textId="77777777" w:rsidR="00DD2713" w:rsidRPr="00E55ABC" w:rsidRDefault="00DD2713" w:rsidP="00DD2713">
      <w:pPr>
        <w:ind w:left="360" w:hanging="360"/>
      </w:pPr>
      <w:r>
        <w:t xml:space="preserve">Putman, </w:t>
      </w:r>
      <w:proofErr w:type="gramStart"/>
      <w:r>
        <w:t>Andrea</w:t>
      </w:r>
      <w:proofErr w:type="gramEnd"/>
      <w:r>
        <w:t xml:space="preserve"> and Michael Philips. </w:t>
      </w:r>
      <w:r>
        <w:rPr>
          <w:i/>
        </w:rPr>
        <w:t xml:space="preserve">The Business Case for Renewable Energy: A Guide for Colleges and Universities. </w:t>
      </w:r>
      <w:r>
        <w:t>Washington, DC: National Association of College and University Business Officers (NACUBO), Leadership in Educational Facilities (APPA), and Society for College and University Planners (SCUP), 2006.</w:t>
      </w:r>
    </w:p>
    <w:p w14:paraId="33F97C45" w14:textId="77777777" w:rsidR="00DD2713" w:rsidRPr="00D9512E" w:rsidRDefault="00DD2713" w:rsidP="00DD2713">
      <w:pPr>
        <w:ind w:left="360" w:hanging="360"/>
        <w:rPr>
          <w:i/>
        </w:rPr>
      </w:pPr>
      <w:r>
        <w:t xml:space="preserve">Sustainable Endowments Institute. “Billion Dollar Green Challenge.” </w:t>
      </w:r>
      <w:hyperlink r:id="rId6" w:history="1">
        <w:r w:rsidRPr="00115B28">
          <w:rPr>
            <w:rStyle w:val="Hyperlink"/>
          </w:rPr>
          <w:t>http://GreenBillion.org</w:t>
        </w:r>
      </w:hyperlink>
      <w:r>
        <w:t xml:space="preserve"> Resources at </w:t>
      </w:r>
      <w:hyperlink r:id="rId7" w:history="1">
        <w:r w:rsidRPr="00E94278">
          <w:rPr>
            <w:rStyle w:val="Hyperlink"/>
          </w:rPr>
          <w:t>http://GreenBillion.org/resources</w:t>
        </w:r>
      </w:hyperlink>
      <w:r>
        <w:t xml:space="preserve"> include implementation guides, an investment primer for financial officers, an investment-tracking dashboard, sample documents, and case studies.</w:t>
      </w:r>
    </w:p>
    <w:p w14:paraId="33F97C46" w14:textId="4F2D9E7B" w:rsidR="006C0DED" w:rsidRDefault="006C0DED"/>
    <w:p w14:paraId="2AF8EBD5" w14:textId="2C014AFA" w:rsidR="00447271" w:rsidRPr="007B54FB" w:rsidRDefault="00D12C52">
      <w:pPr>
        <w:rPr>
          <w:b/>
          <w:bCs/>
        </w:rPr>
      </w:pPr>
      <w:r w:rsidRPr="007B54FB">
        <w:rPr>
          <w:b/>
          <w:bCs/>
        </w:rPr>
        <w:t>Further reading</w:t>
      </w:r>
    </w:p>
    <w:p w14:paraId="38CBC80C" w14:textId="77777777" w:rsidR="00447271" w:rsidRPr="003D06D1" w:rsidRDefault="00447271" w:rsidP="00447271">
      <w:pPr>
        <w:ind w:left="360" w:hanging="360"/>
      </w:pPr>
      <w:proofErr w:type="spellStart"/>
      <w:r w:rsidRPr="003D06D1">
        <w:t>Indvik</w:t>
      </w:r>
      <w:proofErr w:type="spellEnd"/>
      <w:r w:rsidRPr="003D06D1">
        <w:t xml:space="preserve">, Joe, Rob Foley, and Mark Orlowski. </w:t>
      </w:r>
      <w:hyperlink r:id="rId8" w:tooltip="SEI/AASHE Webinar on Implementation Strategies for GRFs" w:history="1">
        <w:r w:rsidRPr="003D06D1">
          <w:rPr>
            <w:rStyle w:val="Hyperlink"/>
            <w:i/>
            <w:iCs/>
            <w:color w:val="auto"/>
            <w:u w:val="none"/>
          </w:rPr>
          <w:t>Green Revolving Funds: An Introductory Guide to Implementation &amp; Management</w:t>
        </w:r>
      </w:hyperlink>
      <w:r w:rsidRPr="003D06D1">
        <w:t>. Sustainable Endowments Institute and Association for the Advancement of Sustainability in Higher Education, 2013.</w:t>
      </w:r>
    </w:p>
    <w:p w14:paraId="7766AB6F" w14:textId="77777777" w:rsidR="00447271" w:rsidRPr="00447271" w:rsidRDefault="00447271">
      <w:pPr>
        <w:rPr>
          <w:b/>
          <w:bCs/>
          <w:sz w:val="32"/>
          <w:szCs w:val="32"/>
        </w:rPr>
      </w:pPr>
    </w:p>
    <w:sectPr w:rsidR="00447271" w:rsidRPr="0044727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CA1C8" w14:textId="77777777" w:rsidR="009A46FA" w:rsidRDefault="009A46FA" w:rsidP="009A46FA">
      <w:r>
        <w:separator/>
      </w:r>
    </w:p>
  </w:endnote>
  <w:endnote w:type="continuationSeparator" w:id="0">
    <w:p w14:paraId="50DC2586" w14:textId="77777777" w:rsidR="009A46FA" w:rsidRDefault="009A46FA" w:rsidP="009A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ant Garde IT Cby BT">
    <w:altName w:val="Avant Garde IT Cby B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AB5F" w14:textId="77777777" w:rsidR="009A46FA" w:rsidRDefault="009A46FA" w:rsidP="009A46FA">
    <w:pPr>
      <w:pStyle w:val="CWFooter"/>
    </w:pPr>
    <w:r>
      <w:t>© 2021 Margaret Robertson</w:t>
    </w:r>
  </w:p>
  <w:p w14:paraId="0833527F" w14:textId="77777777" w:rsidR="009A46FA" w:rsidRDefault="009A4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4AF98" w14:textId="77777777" w:rsidR="009A46FA" w:rsidRDefault="009A46FA" w:rsidP="009A46FA">
      <w:r>
        <w:separator/>
      </w:r>
    </w:p>
  </w:footnote>
  <w:footnote w:type="continuationSeparator" w:id="0">
    <w:p w14:paraId="17B16052" w14:textId="77777777" w:rsidR="009A46FA" w:rsidRDefault="009A46FA" w:rsidP="009A4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14B9"/>
    <w:rsid w:val="00003341"/>
    <w:rsid w:val="0002372C"/>
    <w:rsid w:val="000A6365"/>
    <w:rsid w:val="000C24BD"/>
    <w:rsid w:val="000D2D49"/>
    <w:rsid w:val="000E0246"/>
    <w:rsid w:val="001233B9"/>
    <w:rsid w:val="0013682C"/>
    <w:rsid w:val="00141F2C"/>
    <w:rsid w:val="0016116D"/>
    <w:rsid w:val="001B444A"/>
    <w:rsid w:val="001B5225"/>
    <w:rsid w:val="001C39F4"/>
    <w:rsid w:val="001C40B8"/>
    <w:rsid w:val="00203AE7"/>
    <w:rsid w:val="00215CBA"/>
    <w:rsid w:val="002447E6"/>
    <w:rsid w:val="00264764"/>
    <w:rsid w:val="0029502E"/>
    <w:rsid w:val="002B4832"/>
    <w:rsid w:val="00305083"/>
    <w:rsid w:val="00306E59"/>
    <w:rsid w:val="00310F61"/>
    <w:rsid w:val="00333B57"/>
    <w:rsid w:val="003C0CB0"/>
    <w:rsid w:val="003C187F"/>
    <w:rsid w:val="003D06D1"/>
    <w:rsid w:val="003E1890"/>
    <w:rsid w:val="00444E38"/>
    <w:rsid w:val="00447271"/>
    <w:rsid w:val="00456717"/>
    <w:rsid w:val="0047051C"/>
    <w:rsid w:val="004A1FCD"/>
    <w:rsid w:val="004C27B9"/>
    <w:rsid w:val="004D1137"/>
    <w:rsid w:val="004D4871"/>
    <w:rsid w:val="004E243E"/>
    <w:rsid w:val="004F6CAF"/>
    <w:rsid w:val="0050774E"/>
    <w:rsid w:val="0051640F"/>
    <w:rsid w:val="00556DE0"/>
    <w:rsid w:val="00603998"/>
    <w:rsid w:val="0062489E"/>
    <w:rsid w:val="00655F34"/>
    <w:rsid w:val="006607DB"/>
    <w:rsid w:val="00695E4F"/>
    <w:rsid w:val="006C0DED"/>
    <w:rsid w:val="007135F3"/>
    <w:rsid w:val="00744E56"/>
    <w:rsid w:val="00776E61"/>
    <w:rsid w:val="007B54FB"/>
    <w:rsid w:val="007C4CAE"/>
    <w:rsid w:val="007D6FA6"/>
    <w:rsid w:val="00825D50"/>
    <w:rsid w:val="00871B3C"/>
    <w:rsid w:val="008A7BC2"/>
    <w:rsid w:val="00902609"/>
    <w:rsid w:val="009076A6"/>
    <w:rsid w:val="00976D10"/>
    <w:rsid w:val="009A393E"/>
    <w:rsid w:val="009A46FA"/>
    <w:rsid w:val="009B178F"/>
    <w:rsid w:val="009D3AB5"/>
    <w:rsid w:val="009F14B9"/>
    <w:rsid w:val="009F404C"/>
    <w:rsid w:val="00A378F1"/>
    <w:rsid w:val="00AB4481"/>
    <w:rsid w:val="00B66B94"/>
    <w:rsid w:val="00B80997"/>
    <w:rsid w:val="00B86DDA"/>
    <w:rsid w:val="00BA0CDA"/>
    <w:rsid w:val="00C100DD"/>
    <w:rsid w:val="00C15FE1"/>
    <w:rsid w:val="00C26D52"/>
    <w:rsid w:val="00C4238C"/>
    <w:rsid w:val="00C43247"/>
    <w:rsid w:val="00C70F55"/>
    <w:rsid w:val="00C80881"/>
    <w:rsid w:val="00C84C42"/>
    <w:rsid w:val="00CA129B"/>
    <w:rsid w:val="00CC1B1C"/>
    <w:rsid w:val="00CC2F6A"/>
    <w:rsid w:val="00CD0D01"/>
    <w:rsid w:val="00D02289"/>
    <w:rsid w:val="00D12C52"/>
    <w:rsid w:val="00D13FA7"/>
    <w:rsid w:val="00D222CC"/>
    <w:rsid w:val="00D279C7"/>
    <w:rsid w:val="00D719F6"/>
    <w:rsid w:val="00D80178"/>
    <w:rsid w:val="00D823D2"/>
    <w:rsid w:val="00DD2713"/>
    <w:rsid w:val="00DE1489"/>
    <w:rsid w:val="00DE1EB2"/>
    <w:rsid w:val="00E01226"/>
    <w:rsid w:val="00E870EE"/>
    <w:rsid w:val="00EB407F"/>
    <w:rsid w:val="00EB5464"/>
    <w:rsid w:val="00EF2414"/>
    <w:rsid w:val="00EF6ADC"/>
    <w:rsid w:val="00F12404"/>
    <w:rsid w:val="00F55F7F"/>
    <w:rsid w:val="00F67923"/>
    <w:rsid w:val="00F80A65"/>
    <w:rsid w:val="00F92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97C31"/>
  <w15:docId w15:val="{3AA4ED58-B453-4BE6-920F-34EE6DC4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13"/>
    <w:rPr>
      <w:color w:val="0000FF" w:themeColor="hyperlink"/>
      <w:u w:val="single"/>
    </w:rPr>
  </w:style>
  <w:style w:type="paragraph" w:customStyle="1" w:styleId="Default">
    <w:name w:val="Default"/>
    <w:rsid w:val="00DD2713"/>
    <w:pPr>
      <w:autoSpaceDE w:val="0"/>
      <w:autoSpaceDN w:val="0"/>
      <w:adjustRightInd w:val="0"/>
    </w:pPr>
    <w:rPr>
      <w:rFonts w:ascii="Avant Garde IT Cby BT" w:hAnsi="Avant Garde IT Cby BT" w:cs="Avant Garde IT Cby BT"/>
      <w:color w:val="000000"/>
    </w:rPr>
  </w:style>
  <w:style w:type="character" w:customStyle="1" w:styleId="A0">
    <w:name w:val="A0"/>
    <w:uiPriority w:val="99"/>
    <w:rsid w:val="00DD2713"/>
    <w:rPr>
      <w:rFonts w:cs="Avant Garde IT Cby BT"/>
      <w:color w:val="000000"/>
      <w:sz w:val="16"/>
      <w:szCs w:val="16"/>
    </w:rPr>
  </w:style>
  <w:style w:type="paragraph" w:customStyle="1" w:styleId="heading-01">
    <w:name w:val="heading-01"/>
    <w:rsid w:val="00306E59"/>
    <w:pPr>
      <w:spacing w:after="1000" w:afterAutospacing="1"/>
    </w:pPr>
    <w:rPr>
      <w:rFonts w:eastAsia="Calibri"/>
      <w:bCs/>
      <w:color w:val="0000FF"/>
      <w:sz w:val="32"/>
    </w:rPr>
  </w:style>
  <w:style w:type="paragraph" w:styleId="Header">
    <w:name w:val="header"/>
    <w:basedOn w:val="Normal"/>
    <w:link w:val="HeaderChar"/>
    <w:uiPriority w:val="99"/>
    <w:unhideWhenUsed/>
    <w:rsid w:val="009A46FA"/>
    <w:pPr>
      <w:tabs>
        <w:tab w:val="center" w:pos="4513"/>
        <w:tab w:val="right" w:pos="9026"/>
      </w:tabs>
    </w:pPr>
  </w:style>
  <w:style w:type="character" w:customStyle="1" w:styleId="HeaderChar">
    <w:name w:val="Header Char"/>
    <w:basedOn w:val="DefaultParagraphFont"/>
    <w:link w:val="Header"/>
    <w:uiPriority w:val="99"/>
    <w:rsid w:val="009A46FA"/>
  </w:style>
  <w:style w:type="paragraph" w:styleId="Footer">
    <w:name w:val="footer"/>
    <w:basedOn w:val="Normal"/>
    <w:link w:val="FooterChar"/>
    <w:uiPriority w:val="99"/>
    <w:unhideWhenUsed/>
    <w:rsid w:val="009A46FA"/>
    <w:pPr>
      <w:tabs>
        <w:tab w:val="center" w:pos="4513"/>
        <w:tab w:val="right" w:pos="9026"/>
      </w:tabs>
    </w:pPr>
  </w:style>
  <w:style w:type="character" w:customStyle="1" w:styleId="FooterChar">
    <w:name w:val="Footer Char"/>
    <w:basedOn w:val="DefaultParagraphFont"/>
    <w:link w:val="Footer"/>
    <w:uiPriority w:val="99"/>
    <w:rsid w:val="009A46FA"/>
  </w:style>
  <w:style w:type="paragraph" w:customStyle="1" w:styleId="CWFooter">
    <w:name w:val="CW Footer"/>
    <w:basedOn w:val="Footer"/>
    <w:qFormat/>
    <w:rsid w:val="009A46FA"/>
    <w:pPr>
      <w:tabs>
        <w:tab w:val="clear" w:pos="4513"/>
        <w:tab w:val="clear" w:pos="9026"/>
        <w:tab w:val="center" w:pos="4680"/>
        <w:tab w:val="right" w:pos="9360"/>
      </w:tabs>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600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eenbillion.org/full-implementation-guide/" TargetMode="External"/><Relationship Id="rId3" Type="http://schemas.openxmlformats.org/officeDocument/2006/relationships/webSettings" Target="webSettings.xml"/><Relationship Id="rId7" Type="http://schemas.openxmlformats.org/officeDocument/2006/relationships/hyperlink" Target="http://GreenBillion.org/resourc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reenBillion.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1093</TotalTime>
  <Pages>2</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dc:creator>
  <cp:keywords/>
  <dc:description/>
  <cp:lastModifiedBy>Reviewer</cp:lastModifiedBy>
  <cp:revision>96</cp:revision>
  <dcterms:created xsi:type="dcterms:W3CDTF">2014-08-12T01:17:00Z</dcterms:created>
  <dcterms:modified xsi:type="dcterms:W3CDTF">2021-07-26T10:34:00Z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2021-07-22T14:26:35Z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9755e304-f80b-4a83-b39c-a17d565d6558</vt:lpwstr>
  </property>
  <property fmtid="{D5CDD505-2E9C-101B-9397-08002B2CF9AE}" pid="8" name="MSIP_Label_2bbab825-a111-45e4-86a1-18cee0005896_ContentBits">
    <vt:lpwstr>2</vt:lpwstr>
  </property>
</Properties>
</file>